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spacing w:after="0" w:before="0" w:line="240" w:lineRule="auto"/>
        <w:ind w:firstLine="0" w:left="0" w:right="-10205"/>
        <w:jc w:val="center"/>
        <w:rPr>
          <w:sz w:val="28"/>
        </w:rPr>
      </w:pPr>
      <w:r>
        <w:rPr>
          <w:sz w:val="28"/>
        </w:rPr>
        <w:t>Приложение</w:t>
      </w:r>
    </w:p>
    <w:p w14:paraId="03000000">
      <w:pPr>
        <w:spacing w:after="0" w:before="0" w:line="240" w:lineRule="auto"/>
        <w:ind w:firstLine="0" w:left="0" w:right="-10205"/>
        <w:jc w:val="center"/>
        <w:rPr>
          <w:sz w:val="28"/>
        </w:rPr>
      </w:pPr>
      <w:r>
        <w:rPr>
          <w:sz w:val="28"/>
        </w:rPr>
        <w:t>к приказу комитета</w:t>
      </w:r>
    </w:p>
    <w:p w14:paraId="04000000">
      <w:pPr>
        <w:spacing w:after="0" w:before="0" w:line="240" w:lineRule="auto"/>
        <w:ind w:firstLine="0" w:left="0" w:right="-10205"/>
        <w:jc w:val="center"/>
        <w:rPr>
          <w:sz w:val="28"/>
        </w:rPr>
      </w:pPr>
      <w:r>
        <w:rPr>
          <w:sz w:val="28"/>
        </w:rPr>
        <w:t>региональной безопасности</w:t>
      </w:r>
    </w:p>
    <w:p w14:paraId="05000000">
      <w:pPr>
        <w:spacing w:after="0" w:before="0" w:line="240" w:lineRule="auto"/>
        <w:ind w:firstLine="0" w:left="0" w:right="-10205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06000000">
      <w:pPr>
        <w:spacing w:after="0" w:before="0" w:line="240" w:lineRule="auto"/>
        <w:ind w:firstLine="0" w:left="0" w:right="-10205"/>
        <w:jc w:val="center"/>
        <w:rPr>
          <w:sz w:val="28"/>
          <w:u w:val="none"/>
        </w:rPr>
      </w:pPr>
      <w:r>
        <w:rPr>
          <w:rFonts w:ascii="PT Astra Serif" w:hAnsi="PT Astra Serif"/>
          <w:u w:val="none"/>
        </w:rPr>
        <w:t>от</w:t>
      </w:r>
      <w:r>
        <w:rPr>
          <w:rFonts w:ascii="PT Astra Serif" w:hAnsi="PT Astra Serif"/>
          <w:u w:val="none"/>
        </w:rPr>
        <w:t xml:space="preserve"> 30.12.2020</w:t>
      </w:r>
      <w:r>
        <w:rPr>
          <w:rFonts w:ascii="PT Astra Serif" w:hAnsi="PT Astra Serif"/>
          <w:u w:val="none"/>
        </w:rPr>
        <w:t xml:space="preserve"> </w:t>
      </w:r>
      <w:r>
        <w:rPr>
          <w:rFonts w:ascii="PT Astra Serif" w:hAnsi="PT Astra Serif"/>
          <w:u w:val="none"/>
        </w:rPr>
        <w:t>№</w:t>
      </w:r>
      <w:r>
        <w:rPr>
          <w:rFonts w:ascii="PT Astra Serif" w:hAnsi="PT Astra Serif"/>
          <w:u w:val="none"/>
        </w:rPr>
        <w:t xml:space="preserve"> </w:t>
      </w:r>
      <w:r>
        <w:rPr>
          <w:rFonts w:ascii="PT Astra Serif" w:hAnsi="PT Astra Serif"/>
          <w:u w:val="none"/>
        </w:rPr>
        <w:t>249</w:t>
      </w:r>
    </w:p>
    <w:p w14:paraId="07000000">
      <w:pPr>
        <w:spacing w:after="0" w:before="0" w:line="240" w:lineRule="auto"/>
        <w:ind w:firstLine="0" w:left="0" w:right="-10205"/>
        <w:jc w:val="center"/>
        <w:rPr>
          <w:sz w:val="28"/>
        </w:rPr>
      </w:pPr>
      <w:r>
        <w:rPr>
          <w:sz w:val="28"/>
        </w:rPr>
        <w:t>(в редак</w:t>
      </w:r>
      <w:r>
        <w:rPr>
          <w:sz w:val="28"/>
        </w:rPr>
        <w:t xml:space="preserve">ции </w:t>
      </w:r>
      <w:r>
        <w:rPr>
          <w:sz w:val="28"/>
        </w:rPr>
        <w:t>приказ</w:t>
      </w:r>
      <w:r>
        <w:rPr>
          <w:sz w:val="28"/>
        </w:rPr>
        <w:t>а</w:t>
      </w:r>
      <w:r>
        <w:rPr>
          <w:sz w:val="28"/>
        </w:rPr>
        <w:t xml:space="preserve"> комитета</w:t>
      </w:r>
    </w:p>
    <w:p w14:paraId="08000000">
      <w:pPr>
        <w:keepNext w:val="1"/>
        <w:spacing w:line="240" w:lineRule="auto"/>
        <w:ind w:firstLine="0" w:left="0" w:right="-10205"/>
        <w:jc w:val="center"/>
        <w:rPr>
          <w:sz w:val="28"/>
        </w:rPr>
      </w:pPr>
      <w:r>
        <w:rPr>
          <w:sz w:val="28"/>
        </w:rPr>
        <w:t>региональной безопасности</w:t>
      </w:r>
    </w:p>
    <w:p w14:paraId="09000000">
      <w:pPr>
        <w:keepNext w:val="1"/>
        <w:spacing w:line="240" w:lineRule="auto"/>
        <w:ind w:firstLine="0" w:left="0" w:right="-10205"/>
        <w:jc w:val="center"/>
        <w:rPr>
          <w:sz w:val="28"/>
        </w:rPr>
      </w:pPr>
      <w:r>
        <w:rPr>
          <w:sz w:val="28"/>
        </w:rPr>
        <w:t>Ку</w:t>
      </w:r>
      <w:r>
        <w:rPr>
          <w:sz w:val="28"/>
        </w:rPr>
        <w:t>р</w:t>
      </w:r>
      <w:r>
        <w:rPr>
          <w:sz w:val="28"/>
        </w:rPr>
        <w:t>ской области</w:t>
      </w:r>
    </w:p>
    <w:p w14:paraId="0A000000">
      <w:pPr>
        <w:keepNext w:val="1"/>
        <w:spacing w:line="240" w:lineRule="auto"/>
        <w:ind w:firstLine="0" w:left="0" w:right="-10205"/>
        <w:jc w:val="center"/>
        <w:rPr>
          <w:sz w:val="28"/>
        </w:rPr>
      </w:pPr>
      <w:r>
        <w:rPr>
          <w:rFonts w:ascii="PT Astra Serif" w:hAnsi="PT Astra Serif"/>
          <w:sz w:val="28"/>
          <w:u w:val="none"/>
        </w:rPr>
        <w:t>от</w:t>
      </w:r>
      <w:r>
        <w:rPr>
          <w:rFonts w:ascii="PT Astra Serif" w:hAnsi="PT Astra Serif"/>
          <w:sz w:val="28"/>
          <w:u w:val="none"/>
        </w:rPr>
        <w:t xml:space="preserve"> 22.09.2021</w:t>
      </w:r>
      <w:r>
        <w:rPr>
          <w:rFonts w:ascii="PT Astra Serif" w:hAnsi="PT Astra Serif"/>
          <w:sz w:val="28"/>
          <w:u w:val="none"/>
        </w:rPr>
        <w:t xml:space="preserve"> </w:t>
      </w:r>
      <w:r>
        <w:rPr>
          <w:rFonts w:ascii="PT Astra Serif" w:hAnsi="PT Astra Serif"/>
          <w:sz w:val="28"/>
          <w:u w:val="none"/>
        </w:rPr>
        <w:t xml:space="preserve">№ </w:t>
      </w:r>
      <w:r>
        <w:rPr>
          <w:rFonts w:ascii="PT Astra Serif" w:hAnsi="PT Astra Serif"/>
          <w:sz w:val="28"/>
          <w:u w:val="none"/>
        </w:rPr>
        <w:t>12</w:t>
      </w:r>
      <w:r>
        <w:rPr>
          <w:rFonts w:ascii="PT Astra Serif" w:hAnsi="PT Astra Serif"/>
          <w:sz w:val="28"/>
          <w:u w:val="none"/>
        </w:rPr>
        <w:t>6)</w:t>
      </w:r>
    </w:p>
    <w:p w14:paraId="0B000000">
      <w:pPr>
        <w:spacing w:after="0" w:before="0" w:line="240" w:lineRule="auto"/>
        <w:ind w:firstLine="0" w:left="0" w:right="0"/>
        <w:jc w:val="center"/>
        <w:rPr>
          <w:sz w:val="24"/>
        </w:rPr>
      </w:pPr>
    </w:p>
    <w:p w14:paraId="0C000000">
      <w:pPr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План</w:t>
      </w:r>
    </w:p>
    <w:p w14:paraId="0D000000">
      <w:pPr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мероприятий по противодействию коррупции</w:t>
      </w:r>
      <w:r>
        <w:rPr>
          <w:sz w:val="28"/>
        </w:rPr>
        <w:t xml:space="preserve"> в комитете региональной безопасности Курской области </w:t>
      </w:r>
    </w:p>
    <w:p w14:paraId="0E000000">
      <w:pPr>
        <w:spacing w:after="0" w:before="0" w:line="240" w:lineRule="auto"/>
        <w:ind w:firstLine="0" w:left="0" w:right="0"/>
        <w:jc w:val="center"/>
        <w:rPr>
          <w:sz w:val="28"/>
        </w:rPr>
      </w:pPr>
      <w:r>
        <w:rPr>
          <w:sz w:val="28"/>
        </w:rPr>
        <w:t>на 2021 – 2024 годы</w:t>
      </w:r>
    </w:p>
    <w:p w14:paraId="0F000000">
      <w:pPr>
        <w:spacing w:after="0" w:before="0" w:line="240" w:lineRule="auto"/>
        <w:ind w:firstLine="0" w:left="0" w:right="0"/>
        <w:jc w:val="left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841"/>
        <w:gridCol w:w="5565"/>
        <w:gridCol w:w="3230"/>
        <w:gridCol w:w="1948"/>
        <w:gridCol w:w="2996"/>
      </w:tblGrid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№ п/п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Наименование мероприятия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Ожидаемый результат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Срок реализации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Ответственный исполнитель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60"/>
        </w:trPr>
        <w:tc>
          <w:tcPr>
            <w:tcW w:type="dxa" w:w="14580"/>
            <w:gridSpan w:val="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 Координационные мероприятия механизмов противодействия коррупции</w:t>
            </w:r>
          </w:p>
        </w:tc>
      </w:tr>
      <w:tr>
        <w:trPr>
          <w:trHeight w:hRule="atLeast" w:val="283"/>
          <w:hidden w:val="0"/>
        </w:trPr>
        <w:tc>
          <w:tcPr>
            <w:tcW w:type="dxa" w:w="14580"/>
            <w:gridSpan w:val="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1.1. Правовое обеспечение в сфере противодействия коррупции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1.1.1.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Разработка и утверждение планов мероприятий по противодействию коррупции на 2021 - 2024 годы в комитете региональной безопа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сности Курской области (да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лее - комитет), в подведомственных комитету о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областных казенных учреждениях -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«АСС Курской области», «ППС Курской области», «ЦОД ГОЧС Курской области» и бюдже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ной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«УМЦ ГОЧС Курской области» (далее - 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домственные учреждения и организация)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Совершенствование правовых, организационных и иных механизмов противодействия коррупции в комитете и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1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I квартал 2021 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2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  <w:p w14:paraId="2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Руководители подведомственных комитету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учреждений и организации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2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1.1.2.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2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Проведение антикоррупционной экспертизы разрабатываемых комитетом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проектов нормативных правовых актов (проектов локальных актов) и принятых нормативных правовых актов (принятых локальных актов) в соответствующей сфере деятельности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2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Выявление и устранение в проектах нормативных правовых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актов (в проектах локальных актов) и в нормативных правовых актах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(в локальных актах)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коррупциогенных факторов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vAlign w:val="top"/>
          </w:tcPr>
          <w:p w14:paraId="2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1.1.3.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Проведение проверок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учреждений и организаци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по вопросам исполнения законодательства о противодействии коррупции в соответствии с утвержденным графиком (в периоды плановых проверок выполнения требований трудового законодательства)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Выполнение требований законодательства 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  <w:p w14:paraId="3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1.1.4.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Осуществление контроля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, функции и полномочия учредителя которых осуществляет комитет, по вопросам исполнения законодательства о противодействии коррупции в соответствии с утвержденным графиком, по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компетенции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Выполнение требований законодательства 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, функции и полномочия учредителя которых осуществляет комитет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председателя комитета</w:t>
            </w:r>
          </w:p>
          <w:p w14:paraId="3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  <w:p w14:paraId="3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1.1.5.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Осуществление анализа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по вопросам исполнения законодательства о противодействии коррупции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, функции и полномочия учредителя которых осуществляет комитет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в соответствии с утвержденным графиком, по компетенции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Совершенствование правовых, организационных и иных механизмов противодействия коррупции 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председателя комитета</w:t>
            </w:r>
          </w:p>
          <w:p w14:paraId="3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1.1.6.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Мониторинг деятельности по профилактике коррупционных и иных правонарушений в комитете и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соблюдения в них законодательства Российской Федерации о противодействии коррупции, а также оказание содействия должностным лицам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в организации работы по противодействию коррупции в соответствии с утвержденным графиком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Оказание содействия должностным лицам комитета 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в организации работы по противодействию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председателя комитета</w:t>
            </w:r>
          </w:p>
          <w:p w14:paraId="4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60"/>
        </w:trPr>
        <w:tc>
          <w:tcPr>
            <w:tcW w:type="dxa" w:w="14580"/>
            <w:gridSpan w:val="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4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1.2. Организационное обеспечение антикоррупционных мероприятий</w:t>
            </w:r>
          </w:p>
          <w:p w14:paraId="4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1.2.1.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Предоставление информации о реализации плана мероприятий по противодействию коррупции в комитете на 2021 - 2023 годы первому заместителю Губернатора Курской области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До 31.12.2021г.</w:t>
            </w:r>
          </w:p>
          <w:p w14:paraId="4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До 31.12.2022г.</w:t>
            </w:r>
          </w:p>
          <w:p w14:paraId="4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До 31.12.2023г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</w:p>
        </w:tc>
      </w:tr>
      <w:tr>
        <w:trPr>
          <w:trHeight w:hRule="atLeast" w:val="255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1.2.2.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Исполнение протокольных решений комиссии по координации работы по противодействию коррупции в Курской области 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Реализация решений комиссии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по координации работы по противодействию коррупции в Курской области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в комитете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и 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учреждениях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и 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1.2.3.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Проведение оценки коррупционных рисков, возникающих при реализации функций государственными гражданскими служащими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комитета,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по компетенции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Актуализация перечней должностей государственной  службы, замещение которых связано с коррупционными рисками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6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1.2.4.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Оказание консультативно-методической помощи должностным лицам комитета и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в организации работы по противодействию коррупции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Повышение эффективности работы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по противодействию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1374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1.2.5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Разработка модельных правовых актов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</w:p>
          <w:p w14:paraId="6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(в соответствующей сфере деятельности)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Оказание содействия должностным лицам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в работе по противодействию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коррупции</w:t>
            </w:r>
          </w:p>
          <w:p w14:paraId="6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  <w:p w14:paraId="6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343"/>
        </w:trPr>
        <w:tc>
          <w:tcPr>
            <w:tcW w:type="dxa" w:w="14580"/>
            <w:gridSpan w:val="5"/>
            <w:tcBorders>
              <w:top w:color="000000" w:sz="1" w:val="single"/>
              <w:bottom w:color="000000" w:sz="1" w:val="single"/>
            </w:tcBorders>
            <w:vAlign w:val="top"/>
          </w:tcPr>
          <w:p w14:paraId="6B000000">
            <w:pPr>
              <w:spacing w:before="0" w:line="240" w:lineRule="auto"/>
              <w:ind w:firstLine="0" w:left="0"/>
              <w:rPr>
                <w:rFonts w:ascii="PT Astra Serif" w:hAnsi="PT Astra Serif"/>
                <w:sz w:val="24"/>
              </w:rPr>
            </w:pPr>
          </w:p>
          <w:p w14:paraId="6C000000">
            <w:pPr>
              <w:spacing w:before="0" w:line="240" w:lineRule="auto"/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 Меры по совершенствованию государственного управления в целях предупреждения коррупции</w:t>
            </w:r>
          </w:p>
          <w:p w14:paraId="6D000000">
            <w:pPr>
              <w:spacing w:before="0" w:line="240" w:lineRule="auto"/>
              <w:ind w:firstLine="0" w:left="0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1.3.1.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государственными гражданскими служащими Курской области комитета, а также  сведений о доходах, об имуществе и обязательствах имущественного характера лицами, замещающими должности руководителей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Обеспечение исполнения обязанностей, предусмотренных действующим законодательством</w:t>
            </w:r>
          </w:p>
          <w:p w14:paraId="7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1.3.2.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Размещение сведений о доходах, расходах, об имуществе и обязательствах имущественного характера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государственных служащих комитета и членов их семей, а также  сведений о доходах, об имуществе и обязательствах имущественного характера руководителей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 членов их семей в иформационно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коммуникационной сети «Интернет»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Осуществление мер, направленных на реализацию действующего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антикоррупционного законодательства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1.3.3.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Анализ сведений о доходах, расходах, об имуществе и обязательствах имущественного характера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государственных служащих комитета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, а также членов их семей</w:t>
            </w:r>
          </w:p>
        </w:tc>
        <w:tc>
          <w:tcPr>
            <w:tcW w:type="dxa" w:w="323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1105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1.3.4.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Анализ сведений о доходах, об имуществе и обязательствах имущественного характера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руководителей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подв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домственных учреждений и организаци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, а также членов их семей</w:t>
            </w:r>
          </w:p>
        </w:tc>
        <w:tc>
          <w:tcPr>
            <w:tcW w:type="dxa" w:w="323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/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1.3.5.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Обеспечение деятельности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 xml:space="preserve"> 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комиссии по соблюдению требований к служебному поведению государственных гражданских сл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у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жащих Курской области и руководителей подведомственных госуда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р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ственных учреждений и урегулированию конфликта интересов в комитете рег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>и</w:t>
            </w:r>
            <w:r>
              <w:rPr>
                <w:rFonts w:ascii="PT Astra Serif" w:hAnsi="PT Astra Serif"/>
                <w:b w:val="0"/>
                <w:color w:val="000000"/>
                <w:spacing w:val="0"/>
                <w:sz w:val="24"/>
              </w:rPr>
              <w:t xml:space="preserve">ональной безопасности Курской области 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Осуществление мер по предупреждению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1.3.6.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Актуализация сведений, содержащихся в анкетах, предоставляемых лицами при назначении на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должности государственной гражданской службы Курской области, в том числе актуализация сведений об их родственниках и иных лицах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Повышение эффективности кадровой работы 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части, касающейся ведения личных дел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8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1.3.7.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1.3.8.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Организация и проведение конкурсного замещения должностей государственной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гражданской службы Курской области в комитет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е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Профилактика коррупции,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упреждение персонального влияния в решении кадровых вопросов</w:t>
            </w:r>
          </w:p>
          <w:p w14:paraId="9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9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43"/>
        </w:trPr>
        <w:tc>
          <w:tcPr>
            <w:tcW w:type="dxa" w:w="14580"/>
            <w:gridSpan w:val="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A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  <w:p w14:paraId="A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2208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2.1.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</w:t>
            </w:r>
          </w:p>
          <w:p w14:paraId="A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"О контрактной системе в сфере закупок товаров, работ, услуг для обеспечения государственных и муниципальных нужд" (по компетенции)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Обеспечение эффективного общественного контроля за деятельностью должностных лиц комитета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Заместитель председателя комитета</w:t>
            </w:r>
          </w:p>
          <w:p w14:paraId="A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sz w:val="24"/>
              </w:rPr>
              <w:t>Комиссия комитета по приему материально - технических средств, ценностей</w:t>
            </w:r>
          </w:p>
          <w:p w14:paraId="A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Общественный совет при комитет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е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2.2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A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14:paraId="A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1000000">
            <w:pPr>
              <w:spacing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Комиссия по документальной проверке финансовой и хозяйственной </w:t>
            </w:r>
          </w:p>
          <w:p w14:paraId="B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sz w:val="24"/>
              </w:rPr>
              <w:t>д</w:t>
            </w:r>
            <w:r>
              <w:rPr>
                <w:rFonts w:ascii="PT Astra Serif" w:hAnsi="PT Astra Serif"/>
                <w:sz w:val="24"/>
              </w:rPr>
              <w:t>е</w:t>
            </w:r>
            <w:r>
              <w:rPr>
                <w:rFonts w:ascii="PT Astra Serif" w:hAnsi="PT Astra Serif"/>
                <w:sz w:val="24"/>
              </w:rPr>
              <w:t>ятельности комитета</w:t>
            </w:r>
          </w:p>
          <w:p w14:paraId="B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Комиссия комитета по приему материально - технических средств, ценностей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2.3.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Контроль за использованием имущества, находящегося в государственной собственности Курской области, земельных участков, находящихся в государственной собственности Курской области, государственная собственность на которые не разграничена, в том числе контроль в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части своевременного внесения арендной платы в соответствующие бюджеты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Обеспечение эффективного использования имущества, находящегося в государственной собственности Курской области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8000000">
            <w:pPr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Комиссия по документальной проверке финансовой и хозяйственной </w:t>
            </w:r>
          </w:p>
          <w:p w14:paraId="B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ятельности комитета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B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2.4.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Участие в проведении заседаний «круглых столов» с привлечением представителей органов исполнительной власти Курской области, органов местного самоуправления Курской области и бизнес-сообщества с целью выработки согласованных мер по дальнейшему снижению административного давления на бизнес-структуры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(по компетенции)</w:t>
            </w:r>
          </w:p>
          <w:p w14:paraId="C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Выявление избыточных административных барьеров и иных ограничений и обязанностей для субъектов предпринимательской и инвестиционной деятельности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</w:p>
          <w:p w14:paraId="C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(по компетенции)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Заместители председателя комитета</w:t>
            </w:r>
          </w:p>
          <w:p w14:paraId="C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(по согласованию)</w:t>
            </w:r>
          </w:p>
        </w:tc>
      </w:tr>
      <w:tr>
        <w:trPr>
          <w:trHeight w:hRule="atLeast" w:val="343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2.5.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Оказание содействия в предоставлении гражданам и юридическим лицам Курской области государственных и муниципальных услуг по принципу «одного окна», а также участие в информировании о действующем законодательстве, регламентирующем порядок предоставления таких услуг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(по компетенции)</w:t>
            </w:r>
          </w:p>
          <w:p w14:paraId="C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Противодействие коррупции (по компетенции)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Заместители председателя комитета</w:t>
            </w:r>
          </w:p>
          <w:p w14:paraId="C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(по согласованию)</w:t>
            </w:r>
          </w:p>
        </w:tc>
      </w:tr>
      <w:tr>
        <w:trPr>
          <w:trHeight w:hRule="atLeast" w:val="308"/>
        </w:trPr>
        <w:tc>
          <w:tcPr>
            <w:tcW w:type="dxa" w:w="14580"/>
            <w:gridSpan w:val="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C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C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D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 Совершенствование взаимодействия органов исполнительной власти Курской области и общества</w:t>
            </w:r>
          </w:p>
          <w:p w14:paraId="D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в сфере антикоррупционных мероприятий</w:t>
            </w:r>
          </w:p>
          <w:p w14:paraId="D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308"/>
        </w:trPr>
        <w:tc>
          <w:tcPr>
            <w:tcW w:type="dxa" w:w="14580"/>
            <w:gridSpan w:val="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D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 Повышение уровня правовой грамотности</w:t>
            </w:r>
          </w:p>
          <w:p w14:paraId="D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308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3.1.1.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Проведение учебно-методических семинаров для государственных гражданских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служащих комитета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Повышение правового сознания, правовой культуры государственных служащих, формирование у них отрицательного отношения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к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913"/>
          <w:hidden w:val="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3.1.2.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Оказание содействия подведомственным учреждениям и организации в проведении учебно-методических семинаров по вопросам обеспечения предупреждения коррупции</w:t>
            </w:r>
          </w:p>
          <w:p w14:paraId="D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Повышение правового сознания, правовой культуры работников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D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203"/>
          <w:hidden w:val="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3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4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08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3.1.3.</w:t>
            </w:r>
          </w:p>
        </w:tc>
        <w:tc>
          <w:tcPr>
            <w:tcW w:type="dxa" w:w="5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7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обучение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3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E8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противодействии коррупции</w:t>
            </w:r>
          </w:p>
          <w:p w14:paraId="E9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</w:p>
        </w:tc>
        <w:tc>
          <w:tcPr>
            <w:tcW w:type="dxa" w:w="1948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08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3.1.4.</w:t>
            </w:r>
          </w:p>
        </w:tc>
        <w:tc>
          <w:tcPr>
            <w:tcW w:type="dxa" w:w="556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Организация дополнительного профессионального образования должностных лиц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подведомственных учреждений и организации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по вопросам противодействия коррупции</w:t>
            </w:r>
          </w:p>
          <w:p w14:paraId="E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3230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E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Исключение фактов коррупции среди должностных лиц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0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1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2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3.1.5.</w:t>
            </w:r>
          </w:p>
        </w:tc>
        <w:tc>
          <w:tcPr>
            <w:tcW w:type="dxa" w:w="5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3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Организация участия лиц, впервые поступивших на государственную службу Курской области или на работу 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type="dxa" w:w="3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F4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Повышение правовой грамотности государственных гражданских служащих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Курской области, впервые поступивших на государственную службу Курской области, а также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type="dxa" w:w="1948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5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6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1932"/>
          <w:hidden w:val="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7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3.1.6.</w:t>
            </w:r>
          </w:p>
        </w:tc>
        <w:tc>
          <w:tcPr>
            <w:tcW w:type="dxa" w:w="5565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8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Организация обучения руководителей подведомственных учреждений и организации, впервые назначенных на должности, по образовательным программам в области противодействия коррупции</w:t>
            </w:r>
          </w:p>
        </w:tc>
        <w:tc>
          <w:tcPr>
            <w:tcW w:type="dxa" w:w="3230"/>
            <w:tcBorders>
              <w:top w:color="000000" w:sz="4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9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Повышение правовой грамотности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руководителей подведомственных учреждений и организации, впервые назначенных на должности</w:t>
            </w:r>
          </w:p>
          <w:p w14:paraId="FA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B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C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10"/>
          <w:hidden w:val="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D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E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FF00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3.1.7.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3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Участие в мероприятиях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на базе образовательных организаций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по формированию у подростков и молодежи негативного отношения к коррупции</w:t>
            </w:r>
          </w:p>
          <w:p w14:paraId="0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(по компетенции)</w:t>
            </w:r>
          </w:p>
          <w:p w14:paraId="0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7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8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Заместители председателя комитета</w:t>
            </w:r>
          </w:p>
          <w:p w14:paraId="0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(по согласованию)</w:t>
            </w:r>
          </w:p>
        </w:tc>
      </w:tr>
      <w:t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3.1.8.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Участие в просветительских и воспитательных мероприяти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ях на базе образовательных организаций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, направленных на создание в обществе атмосферы нетерпимости к коррупционным проявлениям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(по компетенции)</w:t>
            </w:r>
          </w:p>
          <w:p w14:paraId="0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4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Заместители председателя комитета</w:t>
            </w:r>
          </w:p>
          <w:p w14:paraId="1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(по согласованию)</w:t>
            </w:r>
          </w:p>
        </w:tc>
      </w:tr>
      <w:tr>
        <w:tc>
          <w:tcPr>
            <w:tcW w:type="dxa" w:w="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1010000">
            <w:pPr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3.1.9.</w:t>
            </w:r>
          </w:p>
        </w:tc>
        <w:tc>
          <w:tcPr>
            <w:tcW w:type="dxa" w:w="5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2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Обеспечение участия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обучение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type="dxa" w:w="32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top"/>
          </w:tcPr>
          <w:p w14:paraId="1301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color w:val="000000"/>
                <w:spacing w:val="0"/>
                <w:sz w:val="24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Исключение фактов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type="dxa" w:w="1948"/>
            <w:tcBorders>
              <w:top w:color="000000" w:sz="1" w:val="single"/>
              <w:left w:color="000000" w:sz="4" w:val="single"/>
              <w:bottom w:color="000000" w:sz="1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4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c>
          <w:tcPr>
            <w:tcW w:type="dxa" w:w="14580"/>
            <w:gridSpan w:val="5"/>
            <w:tcBorders>
              <w:top w:color="000000" w:sz="4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17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3.2. Обеспечение взаимодействия с представителями общественности</w:t>
            </w:r>
          </w:p>
          <w:p w14:paraId="18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828"/>
          <w:hidden w:val="0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3.2.1.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Привлечение представителей общественности к участию в работе советов, комиссий, рабочих групп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комитета</w:t>
            </w:r>
          </w:p>
          <w:p w14:paraId="1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Экспертно-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консультативная деятельность и обеспечение общественного контроля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3.2.2.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Участие в информировании населения через государственные СМИ о профилактике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коррупции, включая трансляцию тематических роликов в эфире АУКО «ТРК «Сейм»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(по компетенции)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Привлечение внимания к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профилактике коррупции, недопустимости коррупционных проявлений в обществе</w:t>
            </w:r>
          </w:p>
          <w:p w14:paraId="2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Заместители председателя комитета</w:t>
            </w:r>
          </w:p>
          <w:p w14:paraId="2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(по согласованию)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7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8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3.2.3.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Мониторинг обращений граждан о проявлениях коррупции (по компетенции)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Оценка уровня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Отдел комплексной безопасности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3.2.4.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Рассмотрение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на заседаниях Общественного совет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а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 результатов исполнения планов противодействия коррупции в комитете и в подведомственных учреждениях и организации 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Привлечение внимания общественности к профилактике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3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1932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3.2.5.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Подготовка информации о результатах исполнения областной антикоррупционной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программы «План противодействия коррупции в Курской области на 2021- 2023 годы» в комитете на заседание комиссии по координации работы по противодействию коррупции в Курской области (по запросу)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7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Привлечение внимания общественности к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профилактике коррупции в комитете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8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29"/>
        </w:trPr>
        <w:tc>
          <w:tcPr>
            <w:tcW w:type="dxa" w:w="14580"/>
            <w:gridSpan w:val="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3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3.3. Обеспечение открытости органов исполнительной власти</w:t>
            </w:r>
          </w:p>
          <w:p w14:paraId="3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3.3.1.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Размещение информации о проводимых антикоррупционных мероприятиях, контактных телефонах доверия («горячих линий») на странице комитета официального сайта Администрации Курской области и в средствах массовой информации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3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3.3.2.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3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Подготовка информации в рамках творческого конкурса, организуемом и проводимом среди средств массовой информации Курской области на лучшее освещение проблем защиты граждан от преступных посягательств, в том числе по номинации «Антикоррупция»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(по запросу)</w:t>
            </w:r>
          </w:p>
          <w:p w14:paraId="4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Привлечение средств массовой информации к освещению проблемы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7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  <w:p w14:paraId="48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Управление межведомственной координации </w:t>
            </w:r>
          </w:p>
          <w:p w14:paraId="4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(по согласованию)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3.3.3.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Размещение отчета о выполнении региональной антикоррупционной программы, планов (программ) противодействия коррупции в комитете, подведомственных учреждениях и организации в информационно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телекоммуникационной сети «Интернет» (по компетенции)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Информирование населения о результатах антикоррупционной работы комитета и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подведомственных учреждений и организации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I квартал года, следующего за отчетным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4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  <w:p w14:paraId="4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Руководители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подведомственных учреждений и организации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3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3.3.4.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7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8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  <w:p w14:paraId="5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Руководители подведомственных учреждений и организаци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</w:t>
            </w:r>
          </w:p>
        </w:tc>
      </w:tr>
      <w:tr>
        <w:trPr>
          <w:trHeight w:hRule="atLeast" w:val="329"/>
        </w:trPr>
        <w:tc>
          <w:tcPr>
            <w:tcW w:type="dxa" w:w="14580"/>
            <w:gridSpan w:val="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  <w:p w14:paraId="5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  <w:p w14:paraId="5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3.4.1.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5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Участие в проведении социологических исследований в целях оценки уровня коррупции в Курской области (по запросу и компетентности)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Оценка уровня коррупции</w:t>
            </w:r>
          </w:p>
          <w:p w14:paraId="6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и эффективности принимаемых антикоррупционных мер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3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4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3.4.2.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5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6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Повышение результативности и эффективности работы в сфере профилактики коррупционных 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правонарушений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7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8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9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3.4.3.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A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Подготовка отчета в рамках оценки эффективности деятельности подразделений кадровых служб органов исполнительной власти Курской области по профилактике коррупционных и иных правонарушений в соответствии с утвержденной методикой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B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Развитие антикоррупционных механизмов в рамках реализации кадровой политики в комитете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C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D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  <w:tr>
        <w:trPr>
          <w:trHeight w:hRule="atLeast" w:val="329"/>
        </w:trPr>
        <w:tc>
          <w:tcPr>
            <w:tcW w:type="dxa" w:w="8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E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3.4.4.</w:t>
            </w:r>
          </w:p>
        </w:tc>
        <w:tc>
          <w:tcPr>
            <w:tcW w:type="dxa" w:w="55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6F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Размещение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актуальной информации о мерах по профилактике и противодействию коррупции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на странице комитета официального сайта Администрации Курской области в информационно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телекоммуникационной сети «Интернет»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в соответствии с утвержденной методикой</w:t>
            </w:r>
          </w:p>
        </w:tc>
        <w:tc>
          <w:tcPr>
            <w:tcW w:type="dxa" w:w="323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0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Совершенствование системы информирования о мерах по противодействию коррупции</w:t>
            </w:r>
          </w:p>
        </w:tc>
        <w:tc>
          <w:tcPr>
            <w:tcW w:type="dxa" w:w="19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1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>2021 -2024 гг.</w:t>
            </w:r>
          </w:p>
        </w:tc>
        <w:tc>
          <w:tcPr>
            <w:tcW w:type="dxa" w:w="299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2010000">
            <w:pPr>
              <w:keepNext w:val="0"/>
              <w:keepLines w:val="0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Отдел правового, кадрового обеспечения</w:t>
            </w:r>
            <w:r>
              <w:rPr>
                <w:rFonts w:ascii="PT Astra Serif" w:hAnsi="PT Astra Serif"/>
                <w:b w:val="0"/>
                <w:i w:val="0"/>
                <w:smallCaps w:val="0"/>
                <w:strike w:val="0"/>
                <w:color w:val="000000"/>
                <w:spacing w:val="0"/>
                <w:sz w:val="24"/>
                <w:u w:val="none"/>
              </w:rPr>
              <w:t xml:space="preserve"> комитета</w:t>
            </w:r>
          </w:p>
        </w:tc>
      </w:tr>
    </w:tbl>
    <w:p w14:paraId="73010000">
      <w:pPr>
        <w:spacing w:after="0" w:before="0" w:line="240" w:lineRule="auto"/>
        <w:ind w:firstLine="0" w:left="0" w:right="0"/>
        <w:jc w:val="left"/>
        <w:rPr>
          <w:sz w:val="20"/>
        </w:rPr>
      </w:pPr>
    </w:p>
    <w:p w14:paraId="74010000">
      <w:pPr>
        <w:spacing w:after="0" w:before="0" w:line="240" w:lineRule="auto"/>
        <w:ind w:firstLine="0" w:left="0" w:right="0"/>
        <w:jc w:val="left"/>
      </w:pPr>
    </w:p>
    <w:sectPr>
      <w:headerReference r:id="rId1" w:type="default"/>
      <w:pgSz w:h="11908" w:w="16848"/>
      <w:pgMar w:bottom="567" w:footer="3" w:gutter="0" w:header="567" w:left="1134" w:right="1134" w:top="85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xmlns:p1="http://schemas.microsoft.com/office/word/2010/wordml" p1:paraId="01000000">
    <w:pPr>
      <w:pStyle w:val="Style_1"/>
    </w:pPr>
  </w:p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/>
      <w:jc w:val="center"/>
    </w:pPr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footer"/>
    <w:basedOn w:val="Style_3"/>
    <w:link w:val="Style_10_ch"/>
    <w:pPr>
      <w:tabs>
        <w:tab w:leader="none" w:pos="4677" w:val="center"/>
        <w:tab w:leader="none" w:pos="9355" w:val="right"/>
      </w:tabs>
      <w:ind/>
    </w:pPr>
  </w:style>
  <w:style w:styleId="Style_10_ch" w:type="character">
    <w:name w:val="footer"/>
    <w:basedOn w:val="Style_3_ch"/>
    <w:link w:val="Style_10"/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rPr>
      <w:rFonts w:ascii="XO Thames" w:hAnsi="XO Thames"/>
      <w:color w:val="757575"/>
      <w:sz w:val="20"/>
    </w:rPr>
  </w:style>
  <w:style w:styleId="Style_15_ch" w:type="character">
    <w:name w:val="Footnote"/>
    <w:link w:val="Style_15"/>
    <w:rPr>
      <w:rFonts w:ascii="XO Thames" w:hAnsi="XO Thames"/>
      <w:color w:val="757575"/>
      <w:sz w:val="20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Balloon Text"/>
    <w:basedOn w:val="Style_3"/>
    <w:link w:val="Style_20_ch"/>
    <w:rPr>
      <w:rFonts w:ascii="Tahoma" w:hAnsi="Tahoma"/>
      <w:sz w:val="16"/>
    </w:rPr>
  </w:style>
  <w:style w:styleId="Style_20_ch" w:type="character">
    <w:name w:val="Balloon Text"/>
    <w:basedOn w:val="Style_3_ch"/>
    <w:link w:val="Style_20"/>
    <w:rPr>
      <w:rFonts w:ascii="Tahoma" w:hAnsi="Tahoma"/>
      <w:sz w:val="16"/>
    </w:rPr>
  </w:style>
  <w:style w:styleId="Style_21" w:type="paragraph">
    <w:name w:val="toc 5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