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ИНФОРМАЦИЯ</w:t>
      </w:r>
    </w:p>
    <w:p w14:paraId="04000000">
      <w:pPr>
        <w:spacing w:line="240" w:lineRule="auto"/>
        <w:ind w:firstLine="850" w:left="0"/>
        <w:jc w:val="center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 xml:space="preserve">об итогах заседания </w:t>
      </w:r>
      <w:r>
        <w:rPr>
          <w:rFonts w:ascii="PT Astra Serif" w:hAnsi="PT Astra Serif"/>
          <w:b w:val="0"/>
          <w:sz w:val="28"/>
        </w:rPr>
        <w:t>комиссии по соблюдению требований к служебному поведению государственных гражданских сл</w:t>
      </w:r>
      <w:r>
        <w:rPr>
          <w:rFonts w:ascii="PT Astra Serif" w:hAnsi="PT Astra Serif"/>
          <w:b w:val="0"/>
          <w:sz w:val="28"/>
        </w:rPr>
        <w:t>у</w:t>
      </w:r>
      <w:r>
        <w:rPr>
          <w:rFonts w:ascii="PT Astra Serif" w:hAnsi="PT Astra Serif"/>
          <w:b w:val="0"/>
          <w:sz w:val="28"/>
        </w:rPr>
        <w:t>жащих Курской области и руководителей подведомственных госуда</w:t>
      </w:r>
      <w:r>
        <w:rPr>
          <w:rFonts w:ascii="PT Astra Serif" w:hAnsi="PT Astra Serif"/>
          <w:b w:val="0"/>
          <w:sz w:val="28"/>
        </w:rPr>
        <w:t>р</w:t>
      </w:r>
      <w:r>
        <w:rPr>
          <w:rFonts w:ascii="PT Astra Serif" w:hAnsi="PT Astra Serif"/>
          <w:b w:val="0"/>
          <w:sz w:val="28"/>
        </w:rPr>
        <w:t xml:space="preserve">ственных учреждений и урегулированию конфликта интересов в комитете </w:t>
      </w:r>
      <w:r>
        <w:rPr>
          <w:rFonts w:ascii="PT Astra Serif" w:hAnsi="PT Astra Serif"/>
          <w:b w:val="0"/>
          <w:sz w:val="28"/>
        </w:rPr>
        <w:t>рег</w:t>
      </w: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ональной безопасности Курской области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(далее – комиссия)</w:t>
      </w:r>
    </w:p>
    <w:p w14:paraId="05000000">
      <w:pPr>
        <w:spacing w:line="240" w:lineRule="auto"/>
        <w:ind w:firstLine="850" w:left="0"/>
        <w:jc w:val="center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</w:rPr>
        <w:t>24 д</w:t>
      </w:r>
      <w:r>
        <w:rPr>
          <w:rFonts w:ascii="PT Astra Serif" w:hAnsi="PT Astra Serif"/>
          <w:b w:val="0"/>
          <w:sz w:val="28"/>
        </w:rPr>
        <w:t>екабря 2020 года</w:t>
      </w:r>
    </w:p>
    <w:p w14:paraId="06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</w:p>
    <w:p w14:paraId="07000000">
      <w:pPr>
        <w:widowControl w:val="0"/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24 д</w:t>
      </w:r>
      <w:r>
        <w:rPr>
          <w:rFonts w:ascii="PT Astra Serif" w:hAnsi="PT Astra Serif"/>
          <w:b w:val="0"/>
          <w:sz w:val="28"/>
        </w:rPr>
        <w:t xml:space="preserve">екабря 2020 года </w:t>
      </w:r>
      <w:r>
        <w:rPr>
          <w:rFonts w:ascii="PT Astra Serif" w:hAnsi="PT Astra Serif"/>
          <w:b w:val="0"/>
          <w:sz w:val="28"/>
        </w:rPr>
        <w:t xml:space="preserve">проведено заседание </w:t>
      </w:r>
      <w:r>
        <w:rPr>
          <w:rFonts w:ascii="PT Astra Serif" w:hAnsi="PT Astra Serif"/>
          <w:b w:val="0"/>
          <w:sz w:val="28"/>
        </w:rPr>
        <w:t>комиссии</w:t>
      </w:r>
      <w:r>
        <w:rPr>
          <w:rFonts w:ascii="PT Astra Serif" w:hAnsi="PT Astra Serif"/>
          <w:b w:val="0"/>
          <w:sz w:val="28"/>
        </w:rPr>
        <w:t>.</w:t>
      </w:r>
    </w:p>
    <w:p w14:paraId="08000000">
      <w:pPr>
        <w:widowControl w:val="0"/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результате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none"/>
        </w:rPr>
        <w:t>анализа материалов, поступивших</w:t>
      </w:r>
      <w:r>
        <w:rPr>
          <w:rFonts w:ascii="PT Astra Serif" w:hAnsi="PT Astra Serif"/>
          <w:sz w:val="28"/>
          <w:u w:val="none"/>
        </w:rPr>
        <w:t xml:space="preserve"> от управления </w:t>
      </w:r>
      <w:r>
        <w:rPr>
          <w:rFonts w:ascii="PT Astra Serif" w:hAnsi="PT Astra Serif"/>
          <w:color w:val="000000"/>
          <w:spacing w:val="0"/>
          <w:sz w:val="28"/>
        </w:rPr>
        <w:t>Росреестр</w:t>
      </w:r>
      <w:r>
        <w:rPr>
          <w:rFonts w:ascii="PT Astra Serif" w:hAnsi="PT Astra Serif"/>
          <w:color w:val="000000"/>
          <w:spacing w:val="0"/>
          <w:sz w:val="28"/>
        </w:rPr>
        <w:t>а</w:t>
      </w:r>
      <w:r>
        <w:rPr>
          <w:rFonts w:ascii="PT Astra Serif" w:hAnsi="PT Astra Serif"/>
          <w:color w:val="000000"/>
          <w:spacing w:val="0"/>
          <w:sz w:val="28"/>
        </w:rPr>
        <w:t>, УФНС по Курской области, кредитных организаций</w:t>
      </w:r>
      <w:r>
        <w:rPr>
          <w:rFonts w:ascii="PT Astra Serif" w:hAnsi="PT Astra Serif"/>
          <w:sz w:val="28"/>
          <w:u w:val="none"/>
        </w:rPr>
        <w:t xml:space="preserve"> в рамках</w:t>
      </w:r>
      <w:r>
        <w:rPr>
          <w:rFonts w:ascii="PT Astra Serif" w:hAnsi="PT Astra Serif"/>
          <w:sz w:val="28"/>
          <w:u w:val="none"/>
        </w:rPr>
        <w:t xml:space="preserve"> проверки достоверности </w:t>
      </w:r>
      <w:r>
        <w:rPr>
          <w:rFonts w:ascii="PT Astra Serif" w:hAnsi="PT Astra Serif"/>
          <w:sz w:val="28"/>
          <w:u w:val="none"/>
        </w:rPr>
        <w:t xml:space="preserve">сведений о </w:t>
      </w:r>
      <w:r>
        <w:rPr>
          <w:rFonts w:ascii="PT Astra Serif" w:hAnsi="PT Astra Serif"/>
          <w:sz w:val="28"/>
          <w:u w:val="none"/>
        </w:rPr>
        <w:t>доходах,</w:t>
      </w:r>
      <w:r>
        <w:rPr>
          <w:rFonts w:ascii="PT Astra Serif" w:hAnsi="PT Astra Serif"/>
          <w:sz w:val="28"/>
          <w:u w:val="none"/>
        </w:rPr>
        <w:t xml:space="preserve"> ра</w:t>
      </w:r>
      <w:r>
        <w:rPr>
          <w:rFonts w:ascii="PT Astra Serif" w:hAnsi="PT Astra Serif"/>
          <w:sz w:val="28"/>
          <w:u w:val="none"/>
        </w:rPr>
        <w:t>с</w:t>
      </w:r>
      <w:r>
        <w:rPr>
          <w:rFonts w:ascii="PT Astra Serif" w:hAnsi="PT Astra Serif"/>
          <w:sz w:val="28"/>
          <w:u w:val="none"/>
        </w:rPr>
        <w:t>ходах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none"/>
        </w:rPr>
        <w:t>об имуществе и обязательствах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none"/>
        </w:rPr>
        <w:t>имущественного характера</w:t>
      </w:r>
      <w:r>
        <w:rPr>
          <w:rFonts w:ascii="PT Astra Serif" w:hAnsi="PT Astra Serif"/>
          <w:sz w:val="28"/>
          <w:u w:val="none"/>
        </w:rPr>
        <w:t xml:space="preserve"> за 2019</w:t>
      </w:r>
      <w:r>
        <w:rPr>
          <w:rFonts w:ascii="PT Astra Serif" w:hAnsi="PT Astra Serif"/>
          <w:sz w:val="28"/>
          <w:u w:val="none"/>
        </w:rPr>
        <w:t xml:space="preserve"> год (далее - сведения)</w:t>
      </w:r>
      <w:r>
        <w:rPr>
          <w:rFonts w:ascii="PT Astra Serif" w:hAnsi="PT Astra Serif"/>
          <w:sz w:val="28"/>
          <w:u w:val="none"/>
        </w:rPr>
        <w:t xml:space="preserve">, проведенной </w:t>
      </w:r>
      <w:r>
        <w:rPr>
          <w:rFonts w:ascii="PT Astra Serif" w:hAnsi="PT Astra Serif"/>
          <w:sz w:val="28"/>
          <w:u w:val="none"/>
        </w:rPr>
        <w:t>в соответствии с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 постановлени</w:t>
      </w:r>
      <w:r>
        <w:rPr>
          <w:rFonts w:ascii="PT Astra Serif" w:hAnsi="PT Astra Serif"/>
          <w:b w:val="0"/>
          <w:sz w:val="28"/>
        </w:rPr>
        <w:t>ем</w:t>
      </w:r>
      <w:r>
        <w:rPr>
          <w:rFonts w:ascii="PT Astra Serif" w:hAnsi="PT Astra Serif"/>
          <w:b w:val="0"/>
          <w:sz w:val="28"/>
        </w:rPr>
        <w:t xml:space="preserve"> Губернатора Курской области от 14.12.2009 № 400</w:t>
      </w:r>
      <w:r>
        <w:rPr>
          <w:rFonts w:ascii="PT Astra Serif" w:hAnsi="PT Astra Serif"/>
          <w:b w:val="0"/>
          <w:sz w:val="28"/>
          <w:u w:val="none"/>
        </w:rPr>
        <w:t>,</w:t>
      </w:r>
      <w:r>
        <w:rPr>
          <w:rFonts w:ascii="PT Astra Serif" w:hAnsi="PT Astra Serif"/>
          <w:color w:val="000000"/>
          <w:spacing w:val="0"/>
          <w:sz w:val="28"/>
        </w:rPr>
        <w:t xml:space="preserve"> в</w:t>
      </w:r>
      <w:r>
        <w:rPr>
          <w:rFonts w:ascii="PT Astra Serif" w:hAnsi="PT Astra Serif"/>
          <w:b w:val="0"/>
          <w:sz w:val="28"/>
          <w:u w:val="none"/>
        </w:rPr>
        <w:t xml:space="preserve"> представленных справках </w:t>
      </w:r>
      <w:r>
        <w:rPr>
          <w:rFonts w:ascii="PT Astra Serif" w:hAnsi="PT Astra Serif"/>
          <w:b w:val="0"/>
          <w:sz w:val="28"/>
          <w:u w:val="none"/>
        </w:rPr>
        <w:t>трех государственных служащих было выявлено наличие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отдельных недостоверных и неполных сведений за 2019 год</w:t>
      </w:r>
      <w:r>
        <w:rPr>
          <w:rFonts w:ascii="PT Astra Serif" w:hAnsi="PT Astra Serif"/>
          <w:b w:val="0"/>
          <w:sz w:val="28"/>
          <w:u w:val="none"/>
        </w:rPr>
        <w:t>, что явилось основанием</w:t>
      </w:r>
      <w:r>
        <w:rPr>
          <w:rFonts w:ascii="PT Astra Serif" w:hAnsi="PT Astra Serif"/>
          <w:b w:val="0"/>
          <w:sz w:val="28"/>
          <w:u w:val="none"/>
        </w:rPr>
        <w:t xml:space="preserve"> для проведения заседания ко миссии (</w:t>
      </w:r>
      <w:r>
        <w:rPr>
          <w:rFonts w:ascii="PT Astra Serif" w:hAnsi="PT Astra Serif"/>
          <w:b w:val="0"/>
          <w:sz w:val="28"/>
          <w:u w:val="none"/>
        </w:rPr>
        <w:t xml:space="preserve">подпункт "а" пункта 16 </w:t>
      </w:r>
      <w:r>
        <w:rPr>
          <w:rFonts w:ascii="PT Astra Serif" w:hAnsi="PT Astra Serif"/>
          <w:b w:val="0"/>
          <w:sz w:val="28"/>
          <w:u w:val="none"/>
        </w:rPr>
        <w:t>Положения о комиссии).</w:t>
      </w:r>
    </w:p>
    <w:p w14:paraId="09000000">
      <w:pPr>
        <w:widowControl w:val="0"/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ходе рассмотрения вопросов повест</w:t>
      </w:r>
      <w:r>
        <w:rPr>
          <w:rFonts w:ascii="PT Astra Serif" w:hAnsi="PT Astra Serif"/>
          <w:b w:val="0"/>
          <w:sz w:val="28"/>
        </w:rPr>
        <w:t>ки дня, заслушивания пояснений указанных гражданских служащих, комиссией приняты следующие решения:</w:t>
      </w:r>
    </w:p>
    <w:p w14:paraId="0A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 первому вопросу:</w:t>
      </w:r>
    </w:p>
    <w:p w14:paraId="0C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Установить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что </w:t>
      </w:r>
      <w:r>
        <w:rPr>
          <w:rFonts w:ascii="PT Astra Serif" w:hAnsi="PT Astra Serif"/>
          <w:b w:val="0"/>
          <w:sz w:val="28"/>
        </w:rPr>
        <w:t>сведения</w:t>
      </w:r>
      <w:r>
        <w:rPr>
          <w:rFonts w:ascii="PT Astra Serif" w:hAnsi="PT Astra Serif"/>
          <w:b w:val="0"/>
          <w:color w:val="000000"/>
          <w:spacing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представленные </w:t>
      </w:r>
      <w:r>
        <w:rPr>
          <w:rFonts w:ascii="PT Astra Serif" w:hAnsi="PT Astra Serif"/>
          <w:b w:val="0"/>
          <w:sz w:val="28"/>
        </w:rPr>
        <w:t>государственным служащим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"consultantplus://offline/ref=BB43F58195247763F145A2BD3AE60317B61D068E71937574BD625518CDB6D2A29020C335BE42DFD9A26DE9f1YBN"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подпунктом "а" пункта 1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Положения о проверке достоверности и полноты сведений, утвержденного постановл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>нием Губернатора Курской области от 14.12.2009 № 400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части разделов 4</w:t>
      </w:r>
      <w:r>
        <w:rPr>
          <w:rFonts w:ascii="PT Astra Serif" w:hAnsi="PT Astra Serif"/>
          <w:b w:val="0"/>
          <w:sz w:val="28"/>
        </w:rPr>
        <w:t xml:space="preserve"> справок </w:t>
      </w:r>
      <w:r>
        <w:rPr>
          <w:rFonts w:ascii="PT Astra Serif" w:hAnsi="PT Astra Serif"/>
          <w:b w:val="0"/>
          <w:sz w:val="28"/>
        </w:rPr>
        <w:t>своей и на супруга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являют</w:t>
      </w:r>
      <w:r>
        <w:rPr>
          <w:rFonts w:ascii="PT Astra Serif" w:hAnsi="PT Astra Serif"/>
          <w:b w:val="0"/>
          <w:sz w:val="28"/>
        </w:rPr>
        <w:t xml:space="preserve">ся </w:t>
      </w:r>
      <w:r>
        <w:rPr>
          <w:rFonts w:ascii="PT Astra Serif" w:hAnsi="PT Astra Serif"/>
          <w:b w:val="0"/>
          <w:sz w:val="28"/>
        </w:rPr>
        <w:t>неполными</w:t>
      </w:r>
      <w:r>
        <w:rPr>
          <w:rFonts w:ascii="PT Astra Serif" w:hAnsi="PT Astra Serif"/>
          <w:b w:val="0"/>
          <w:sz w:val="28"/>
        </w:rPr>
        <w:t xml:space="preserve">. </w:t>
      </w:r>
    </w:p>
    <w:p w14:paraId="0D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u w:val="none"/>
        </w:rPr>
        <w:t>П</w:t>
      </w:r>
      <w:r>
        <w:rPr>
          <w:rFonts w:ascii="PT Astra Serif" w:hAnsi="PT Astra Serif"/>
          <w:b w:val="0"/>
          <w:sz w:val="28"/>
          <w:u w:val="none"/>
        </w:rPr>
        <w:t>ризнать</w:t>
      </w:r>
      <w:r>
        <w:rPr>
          <w:rFonts w:ascii="PT Astra Serif" w:hAnsi="PT Astra Serif"/>
          <w:b w:val="0"/>
          <w:sz w:val="28"/>
        </w:rPr>
        <w:t xml:space="preserve">, что </w:t>
      </w:r>
      <w:r>
        <w:rPr>
          <w:rFonts w:ascii="PT Astra Serif" w:hAnsi="PT Astra Serif"/>
          <w:b w:val="0"/>
          <w:sz w:val="28"/>
        </w:rPr>
        <w:t>при заполнении</w:t>
      </w:r>
      <w:r>
        <w:rPr>
          <w:rFonts w:ascii="PT Astra Serif" w:hAnsi="PT Astra Serif"/>
          <w:b w:val="0"/>
          <w:sz w:val="28"/>
        </w:rPr>
        <w:t xml:space="preserve"> разделов 4</w:t>
      </w:r>
      <w:r>
        <w:rPr>
          <w:rFonts w:ascii="PT Astra Serif" w:hAnsi="PT Astra Serif"/>
          <w:b w:val="0"/>
          <w:sz w:val="28"/>
        </w:rPr>
        <w:t xml:space="preserve"> справок </w:t>
      </w:r>
      <w:r>
        <w:rPr>
          <w:rFonts w:ascii="PT Astra Serif" w:hAnsi="PT Astra Serif"/>
          <w:b w:val="0"/>
          <w:sz w:val="28"/>
        </w:rPr>
        <w:t xml:space="preserve">своей и на супруга </w:t>
      </w:r>
      <w:r>
        <w:rPr>
          <w:rFonts w:ascii="PT Astra Serif" w:hAnsi="PT Astra Serif"/>
          <w:b w:val="0"/>
          <w:sz w:val="28"/>
        </w:rPr>
        <w:t>государственным служащим</w:t>
      </w:r>
      <w:r>
        <w:rPr>
          <w:rFonts w:ascii="PT Astra Serif" w:hAnsi="PT Astra Serif"/>
          <w:b w:val="0"/>
          <w:sz w:val="28"/>
        </w:rPr>
        <w:t xml:space="preserve"> н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в полном объеме выполнены </w:t>
      </w:r>
      <w:r>
        <w:rPr>
          <w:rFonts w:ascii="PT Astra Serif" w:hAnsi="PT Astra Serif"/>
          <w:b w:val="0"/>
          <w:sz w:val="28"/>
        </w:rPr>
        <w:t>требования</w:t>
      </w:r>
      <w:r>
        <w:rPr>
          <w:rFonts w:ascii="PT Astra Serif" w:hAnsi="PT Astra Serif"/>
          <w:b w:val="0"/>
          <w:sz w:val="28"/>
        </w:rPr>
        <w:t xml:space="preserve"> Методических рекомендаций Минтруда РФ по вопросам представления сведений</w:t>
      </w:r>
      <w:r>
        <w:rPr>
          <w:rFonts w:ascii="PT Astra Serif" w:hAnsi="PT Astra Serif"/>
          <w:b w:val="0"/>
          <w:sz w:val="28"/>
        </w:rPr>
        <w:t xml:space="preserve"> и заполнения справки Формы БК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за отчетный 2019 год</w:t>
      </w:r>
      <w:r>
        <w:rPr>
          <w:rFonts w:ascii="PT Astra Serif" w:hAnsi="PT Astra Serif"/>
          <w:b w:val="0"/>
          <w:sz w:val="28"/>
        </w:rPr>
        <w:t>.</w:t>
      </w:r>
    </w:p>
    <w:p w14:paraId="0E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Предупредить</w:t>
      </w:r>
      <w:r>
        <w:rPr>
          <w:rFonts w:ascii="PT Astra Serif" w:hAnsi="PT Astra Serif"/>
          <w:b w:val="0"/>
          <w:sz w:val="28"/>
        </w:rPr>
        <w:t xml:space="preserve"> государственного служащего</w:t>
      </w:r>
      <w:r>
        <w:rPr>
          <w:rFonts w:ascii="PT Astra Serif" w:hAnsi="PT Astra Serif"/>
          <w:b w:val="0"/>
          <w:sz w:val="28"/>
        </w:rPr>
        <w:t xml:space="preserve"> о необходимости бе</w:t>
      </w:r>
      <w:r>
        <w:rPr>
          <w:rFonts w:ascii="PT Astra Serif" w:hAnsi="PT Astra Serif"/>
          <w:b w:val="0"/>
          <w:sz w:val="28"/>
        </w:rPr>
        <w:t>зуслов</w:t>
      </w:r>
      <w:r>
        <w:rPr>
          <w:rFonts w:ascii="PT Astra Serif" w:hAnsi="PT Astra Serif"/>
          <w:b w:val="0"/>
          <w:sz w:val="28"/>
        </w:rPr>
        <w:t>ного</w:t>
      </w:r>
      <w:r>
        <w:rPr>
          <w:rFonts w:ascii="PT Astra Serif" w:hAnsi="PT Astra Serif"/>
          <w:b w:val="0"/>
          <w:sz w:val="28"/>
        </w:rPr>
        <w:t xml:space="preserve"> выполнения требований по подгото</w:t>
      </w:r>
      <w:r>
        <w:rPr>
          <w:rFonts w:ascii="PT Astra Serif" w:hAnsi="PT Astra Serif"/>
          <w:b w:val="0"/>
          <w:sz w:val="28"/>
        </w:rPr>
        <w:t>вке и представлению сведений за отчетные периоды и заполнению соответствующей формы справки. Ограничиться данной мерой в связи с малозначительностью проступка и имеющимися смягчающими обстоятельствами.</w:t>
      </w:r>
    </w:p>
    <w:p w14:paraId="0F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</w:p>
    <w:p w14:paraId="10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 второму вопросу:</w:t>
      </w:r>
    </w:p>
    <w:p w14:paraId="11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Установить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что </w:t>
      </w:r>
      <w:r>
        <w:rPr>
          <w:rFonts w:ascii="PT Astra Serif" w:hAnsi="PT Astra Serif"/>
          <w:b w:val="0"/>
          <w:sz w:val="28"/>
        </w:rPr>
        <w:t>сведения</w:t>
      </w:r>
      <w:r>
        <w:rPr>
          <w:rFonts w:ascii="PT Astra Serif" w:hAnsi="PT Astra Serif"/>
          <w:b w:val="0"/>
          <w:color w:val="000000"/>
          <w:spacing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представленные </w:t>
      </w:r>
      <w:r>
        <w:rPr>
          <w:rFonts w:ascii="PT Astra Serif" w:hAnsi="PT Astra Serif"/>
          <w:b w:val="0"/>
          <w:sz w:val="28"/>
        </w:rPr>
        <w:t>государственным служащим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"consultantplus://offline/ref=BB43F58195247763F145A2BD3AE60317B61D068E71937574BD625518CDB6D2A29020C335BE42DFD9A26DE9f1YBN"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подпунктом "а" пункта 1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Положения о проверке достоверности и полноты сведений, утвержденного постановл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>нием Губернатора Курской области от 14.12.2009 № 400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части разделов 1, 4</w:t>
      </w:r>
      <w:r>
        <w:rPr>
          <w:rFonts w:ascii="PT Astra Serif" w:hAnsi="PT Astra Serif"/>
          <w:b w:val="0"/>
          <w:sz w:val="28"/>
        </w:rPr>
        <w:t xml:space="preserve"> своей справки и разделов 1, 3.1, 4 справки </w:t>
      </w:r>
      <w:r>
        <w:rPr>
          <w:rFonts w:ascii="PT Astra Serif" w:hAnsi="PT Astra Serif"/>
          <w:b w:val="0"/>
          <w:sz w:val="28"/>
        </w:rPr>
        <w:t>на супругу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являют</w:t>
      </w:r>
      <w:r>
        <w:rPr>
          <w:rFonts w:ascii="PT Astra Serif" w:hAnsi="PT Astra Serif"/>
          <w:b w:val="0"/>
          <w:sz w:val="28"/>
        </w:rPr>
        <w:t xml:space="preserve">ся недостоверными и </w:t>
      </w:r>
      <w:r>
        <w:rPr>
          <w:rFonts w:ascii="PT Astra Serif" w:hAnsi="PT Astra Serif"/>
          <w:b w:val="0"/>
          <w:sz w:val="28"/>
        </w:rPr>
        <w:t>неполными</w:t>
      </w:r>
      <w:r>
        <w:rPr>
          <w:rFonts w:ascii="PT Astra Serif" w:hAnsi="PT Astra Serif"/>
          <w:b w:val="0"/>
          <w:sz w:val="28"/>
        </w:rPr>
        <w:t xml:space="preserve">. </w:t>
      </w:r>
    </w:p>
    <w:p w14:paraId="12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u w:val="none"/>
        </w:rPr>
        <w:t>П</w:t>
      </w:r>
      <w:r>
        <w:rPr>
          <w:rFonts w:ascii="PT Astra Serif" w:hAnsi="PT Astra Serif"/>
          <w:b w:val="0"/>
          <w:sz w:val="28"/>
          <w:u w:val="none"/>
        </w:rPr>
        <w:t>ризнать</w:t>
      </w:r>
      <w:r>
        <w:rPr>
          <w:rFonts w:ascii="PT Astra Serif" w:hAnsi="PT Astra Serif"/>
          <w:b w:val="0"/>
          <w:sz w:val="28"/>
        </w:rPr>
        <w:t xml:space="preserve">, что </w:t>
      </w:r>
      <w:r>
        <w:rPr>
          <w:rFonts w:ascii="PT Astra Serif" w:hAnsi="PT Astra Serif"/>
          <w:b w:val="0"/>
          <w:sz w:val="28"/>
        </w:rPr>
        <w:t>государственным служащим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при заполнении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и оформлении  справок на себя</w:t>
      </w:r>
      <w:r>
        <w:rPr>
          <w:rFonts w:ascii="PT Astra Serif" w:hAnsi="PT Astra Serif"/>
          <w:b w:val="0"/>
          <w:sz w:val="28"/>
        </w:rPr>
        <w:t xml:space="preserve"> и на супругу</w:t>
      </w:r>
      <w:r>
        <w:rPr>
          <w:rFonts w:ascii="PT Astra Serif" w:hAnsi="PT Astra Serif"/>
          <w:b w:val="0"/>
          <w:sz w:val="28"/>
        </w:rPr>
        <w:t xml:space="preserve"> н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в полном объеме выполнены </w:t>
      </w:r>
      <w:r>
        <w:rPr>
          <w:rFonts w:ascii="PT Astra Serif" w:hAnsi="PT Astra Serif"/>
          <w:b w:val="0"/>
          <w:sz w:val="28"/>
        </w:rPr>
        <w:t>требования</w:t>
      </w:r>
      <w:r>
        <w:rPr>
          <w:rFonts w:ascii="PT Astra Serif" w:hAnsi="PT Astra Serif"/>
          <w:b w:val="0"/>
          <w:sz w:val="28"/>
        </w:rPr>
        <w:t xml:space="preserve"> Методических рекомендаций Минтруда РФ по вопросам подготовки сведений</w:t>
      </w:r>
      <w:r>
        <w:rPr>
          <w:rFonts w:ascii="PT Astra Serif" w:hAnsi="PT Astra Serif"/>
          <w:b w:val="0"/>
          <w:sz w:val="28"/>
        </w:rPr>
        <w:t xml:space="preserve"> и заполнению справок Формы БК</w:t>
      </w:r>
      <w:r>
        <w:rPr>
          <w:rFonts w:ascii="PT Astra Serif" w:hAnsi="PT Astra Serif"/>
          <w:b w:val="0"/>
          <w:sz w:val="28"/>
        </w:rPr>
        <w:t xml:space="preserve"> за отчетный 2019 год, допущены элементы невнимательности и поспешности в оформлении документов, что привело к данным нарушениям.</w:t>
      </w:r>
    </w:p>
    <w:p w14:paraId="13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Предупредить</w:t>
      </w:r>
      <w:r>
        <w:rPr>
          <w:rFonts w:ascii="PT Astra Serif" w:hAnsi="PT Astra Serif"/>
          <w:b w:val="0"/>
          <w:sz w:val="28"/>
        </w:rPr>
        <w:t xml:space="preserve"> государственного служащего</w:t>
      </w:r>
      <w:r>
        <w:rPr>
          <w:rFonts w:ascii="PT Astra Serif" w:hAnsi="PT Astra Serif"/>
          <w:b w:val="0"/>
          <w:sz w:val="28"/>
        </w:rPr>
        <w:t xml:space="preserve"> о недопустимости не </w:t>
      </w:r>
      <w:r>
        <w:rPr>
          <w:rFonts w:ascii="PT Astra Serif" w:hAnsi="PT Astra Serif"/>
          <w:b w:val="0"/>
          <w:sz w:val="28"/>
        </w:rPr>
        <w:t xml:space="preserve">выполнения </w:t>
      </w:r>
      <w:r>
        <w:rPr>
          <w:rFonts w:ascii="PT Astra Serif" w:hAnsi="PT Astra Serif"/>
          <w:b w:val="0"/>
          <w:sz w:val="28"/>
        </w:rPr>
        <w:t>требований</w:t>
      </w:r>
      <w:r>
        <w:rPr>
          <w:rFonts w:ascii="PT Astra Serif" w:hAnsi="PT Astra Serif"/>
          <w:b w:val="0"/>
          <w:sz w:val="28"/>
        </w:rPr>
        <w:t xml:space="preserve"> Методических рекомендаций Минтруда РФ</w:t>
      </w:r>
      <w:r>
        <w:rPr>
          <w:rFonts w:ascii="PT Astra Serif" w:hAnsi="PT Astra Serif"/>
          <w:b w:val="0"/>
          <w:sz w:val="28"/>
        </w:rPr>
        <w:t xml:space="preserve"> при представлении </w:t>
      </w:r>
      <w:r>
        <w:rPr>
          <w:rFonts w:ascii="PT Astra Serif" w:hAnsi="PT Astra Serif"/>
          <w:b w:val="0"/>
          <w:sz w:val="28"/>
        </w:rPr>
        <w:t>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за отчетные периоды, о проявлении внимательности при подготовке сведений. Ограничиться данным предупреждением в связи с малозначительностью и несущественностью допущенных нарушений,</w:t>
      </w:r>
      <w:r>
        <w:rPr>
          <w:rFonts w:ascii="PT Astra Serif" w:hAnsi="PT Astra Serif"/>
          <w:b w:val="0"/>
          <w:sz w:val="28"/>
        </w:rPr>
        <w:t xml:space="preserve"> а  также наличием смягчающих обстоятельств.</w:t>
      </w:r>
    </w:p>
    <w:p w14:paraId="14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 третьему вопросу:</w:t>
      </w:r>
    </w:p>
    <w:p w14:paraId="16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Установить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что </w:t>
      </w:r>
      <w:r>
        <w:rPr>
          <w:rFonts w:ascii="PT Astra Serif" w:hAnsi="PT Astra Serif"/>
          <w:b w:val="0"/>
          <w:sz w:val="28"/>
        </w:rPr>
        <w:t>сведения</w:t>
      </w:r>
      <w:r>
        <w:rPr>
          <w:rFonts w:ascii="PT Astra Serif" w:hAnsi="PT Astra Serif"/>
          <w:b w:val="0"/>
          <w:color w:val="000000"/>
          <w:spacing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представленные </w:t>
      </w:r>
      <w:r>
        <w:rPr>
          <w:rFonts w:ascii="PT Astra Serif" w:hAnsi="PT Astra Serif"/>
          <w:b w:val="0"/>
          <w:sz w:val="28"/>
        </w:rPr>
        <w:t>государственным служащим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"consultantplus://offline/ref=BB43F58195247763F145A2BD3AE60317B61D068E71937574BD625518CDB6D2A29020C335BE42DFD9A26DE9f1YBN"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подпунктом "а" пункта 1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Положения о проверке достоверности и полноты сведений, утвержденного постановл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>нием Губернатора Курской области от 14.12.2009 № 400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части раздела 4</w:t>
      </w:r>
      <w:r>
        <w:rPr>
          <w:rFonts w:ascii="PT Astra Serif" w:hAnsi="PT Astra Serif"/>
          <w:b w:val="0"/>
          <w:sz w:val="28"/>
        </w:rPr>
        <w:t xml:space="preserve"> своей справки</w:t>
      </w:r>
      <w:r>
        <w:rPr>
          <w:rFonts w:ascii="PT Astra Serif" w:hAnsi="PT Astra Serif"/>
          <w:b w:val="0"/>
          <w:sz w:val="28"/>
        </w:rPr>
        <w:t xml:space="preserve"> Формы БК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являют</w:t>
      </w:r>
      <w:r>
        <w:rPr>
          <w:rFonts w:ascii="PT Astra Serif" w:hAnsi="PT Astra Serif"/>
          <w:b w:val="0"/>
          <w:sz w:val="28"/>
        </w:rPr>
        <w:t xml:space="preserve">ся </w:t>
      </w:r>
      <w:r>
        <w:rPr>
          <w:rFonts w:ascii="PT Astra Serif" w:hAnsi="PT Astra Serif"/>
          <w:b w:val="0"/>
          <w:sz w:val="28"/>
        </w:rPr>
        <w:t>неполными по причине неуказания одного счета в банке.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17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Предупредить</w:t>
      </w:r>
      <w:r>
        <w:rPr>
          <w:rFonts w:ascii="PT Astra Serif" w:hAnsi="PT Astra Serif"/>
          <w:b w:val="0"/>
          <w:sz w:val="28"/>
        </w:rPr>
        <w:t xml:space="preserve"> государственного служащего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 о недопустимости не </w:t>
      </w:r>
      <w:r>
        <w:rPr>
          <w:rFonts w:ascii="PT Astra Serif" w:hAnsi="PT Astra Serif"/>
          <w:b w:val="0"/>
          <w:sz w:val="28"/>
        </w:rPr>
        <w:t xml:space="preserve">выполнения </w:t>
      </w:r>
      <w:r>
        <w:rPr>
          <w:rFonts w:ascii="PT Astra Serif" w:hAnsi="PT Astra Serif"/>
          <w:b w:val="0"/>
          <w:sz w:val="28"/>
        </w:rPr>
        <w:t>требований</w:t>
      </w:r>
      <w:r>
        <w:rPr>
          <w:rFonts w:ascii="PT Astra Serif" w:hAnsi="PT Astra Serif"/>
          <w:b w:val="0"/>
          <w:sz w:val="28"/>
        </w:rPr>
        <w:t xml:space="preserve"> Методических рекомендаций Минтруда РФ</w:t>
      </w:r>
      <w:r>
        <w:rPr>
          <w:rFonts w:ascii="PT Astra Serif" w:hAnsi="PT Astra Serif"/>
          <w:b w:val="0"/>
          <w:sz w:val="28"/>
        </w:rPr>
        <w:t xml:space="preserve"> при представлении </w:t>
      </w:r>
      <w:r>
        <w:rPr>
          <w:rFonts w:ascii="PT Astra Serif" w:hAnsi="PT Astra Serif"/>
          <w:b w:val="0"/>
          <w:sz w:val="28"/>
        </w:rPr>
        <w:t>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за отчетные периоды</w:t>
      </w:r>
      <w:r>
        <w:rPr>
          <w:rFonts w:ascii="PT Astra Serif" w:hAnsi="PT Astra Serif"/>
          <w:b w:val="0"/>
          <w:sz w:val="28"/>
        </w:rPr>
        <w:t>. Ограничиться данной мерой в связи с малозначительностью проступка.</w:t>
      </w:r>
    </w:p>
    <w:p w14:paraId="18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</w:t>
      </w:r>
      <w:r>
        <w:rPr>
          <w:rFonts w:ascii="PT Astra Serif" w:hAnsi="PT Astra Serif"/>
          <w:sz w:val="28"/>
        </w:rPr>
        <w:t xml:space="preserve">ризнаков дисциплинарных проступков в действиях указанных государственных служащих </w:t>
      </w:r>
      <w:r>
        <w:rPr>
          <w:rFonts w:ascii="PT Astra Serif" w:hAnsi="PT Astra Serif"/>
          <w:sz w:val="28"/>
        </w:rPr>
        <w:t>комиссией не установлено.</w:t>
      </w:r>
    </w:p>
    <w:p w14:paraId="1A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Протокол заседания комиссии оформлен. Копия протокола представлена в департамент </w:t>
      </w:r>
      <w:r>
        <w:rPr>
          <w:rFonts w:ascii="Times New Roman" w:hAnsi="Times New Roman"/>
          <w:color w:val="000000"/>
          <w:spacing w:val="0"/>
          <w:sz w:val="28"/>
        </w:rPr>
        <w:t>Администрации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Курской обл</w:t>
      </w:r>
      <w:r>
        <w:rPr>
          <w:rFonts w:ascii="Times New Roman" w:hAnsi="Times New Roman"/>
          <w:color w:val="000000"/>
          <w:spacing w:val="0"/>
          <w:sz w:val="28"/>
        </w:rPr>
        <w:t>а</w:t>
      </w:r>
      <w:r>
        <w:rPr>
          <w:rFonts w:ascii="Times New Roman" w:hAnsi="Times New Roman"/>
          <w:color w:val="000000"/>
          <w:spacing w:val="0"/>
          <w:sz w:val="28"/>
        </w:rPr>
        <w:t>сти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по профилактике коррупцио</w:t>
      </w:r>
      <w:r>
        <w:rPr>
          <w:rFonts w:ascii="Times New Roman" w:hAnsi="Times New Roman"/>
          <w:color w:val="000000"/>
          <w:spacing w:val="0"/>
          <w:sz w:val="28"/>
        </w:rPr>
        <w:t>н</w:t>
      </w:r>
      <w:r>
        <w:rPr>
          <w:rFonts w:ascii="Times New Roman" w:hAnsi="Times New Roman"/>
          <w:color w:val="000000"/>
          <w:spacing w:val="0"/>
          <w:sz w:val="28"/>
        </w:rPr>
        <w:t xml:space="preserve">ных </w:t>
      </w:r>
      <w:r>
        <w:rPr>
          <w:rFonts w:ascii="Times New Roman" w:hAnsi="Times New Roman"/>
          <w:color w:val="000000"/>
          <w:spacing w:val="0"/>
          <w:sz w:val="28"/>
        </w:rPr>
        <w:t>и иных правонарушений в установленном порядке.</w:t>
      </w:r>
    </w:p>
    <w:p w14:paraId="1C000000">
      <w:pPr>
        <w:spacing w:line="240" w:lineRule="auto"/>
        <w:ind w:firstLine="0" w:left="0"/>
        <w:jc w:val="both"/>
        <w:rPr>
          <w:rFonts w:ascii="PT Astra Serif" w:hAnsi="PT Astra Serif"/>
        </w:rPr>
      </w:pPr>
    </w:p>
    <w:sectPr>
      <w:headerReference r:id="rId1" w:type="default"/>
      <w:pgSz w:h="16848" w:w="11908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>
    <w:pPr>
      <w:pStyle w:val="Style_1"/>
    </w:pPr>
  </w:p>
  <w:p xmlns:p1="http://schemas.microsoft.com/office/word/2010/wordml" p1:paraId="02000000">
    <w:pPr>
      <w:pStyle w:val="Style_1"/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Знак1"/>
    <w:basedOn w:val="Style_2"/>
    <w:link w:val="Style_11_ch"/>
    <w:pPr>
      <w:spacing w:afterAutospacing="on" w:beforeAutospacing="on"/>
      <w:ind/>
      <w:jc w:val="left"/>
    </w:pPr>
    <w:rPr>
      <w:rFonts w:ascii="Tahoma" w:hAnsi="Tahoma"/>
      <w:sz w:val="20"/>
    </w:rPr>
  </w:style>
  <w:style w:styleId="Style_11_ch" w:type="character">
    <w:name w:val="Знак1"/>
    <w:basedOn w:val="Style_2_ch"/>
    <w:link w:val="Style_11"/>
    <w:rPr>
      <w:rFonts w:ascii="Tahoma" w:hAnsi="Tahoma"/>
      <w:sz w:val="20"/>
    </w:rPr>
  </w:style>
  <w:style w:styleId="Style_12" w:type="paragraph">
    <w:name w:val="ConsPlusNormal"/>
    <w:link w:val="Style_12_ch"/>
    <w:pPr>
      <w:widowControl w:val="0"/>
      <w:ind/>
      <w:jc w:val="left"/>
    </w:pPr>
    <w:rPr>
      <w:rFonts w:ascii="Calibri" w:hAnsi="Calibri"/>
      <w:sz w:val="22"/>
    </w:rPr>
  </w:style>
  <w:style w:styleId="Style_12_ch" w:type="character">
    <w:name w:val="ConsPlusNormal"/>
    <w:link w:val="Style_12"/>
    <w:rPr>
      <w:rFonts w:ascii="Calibri" w:hAnsi="Calibri"/>
      <w:sz w:val="22"/>
    </w:rPr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Гипертекстовая ссылка"/>
    <w:link w:val="Style_14_ch"/>
    <w:rPr>
      <w:b w:val="0"/>
      <w:color w:val="106BBE"/>
    </w:rPr>
  </w:style>
  <w:style w:styleId="Style_14_ch" w:type="character">
    <w:name w:val="Гипертекстовая ссылка"/>
    <w:link w:val="Style_14"/>
    <w:rPr>
      <w:b w:val="0"/>
      <w:color w:val="106BBE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Hyperlink"/>
    <w:basedOn w:val="Style_9"/>
    <w:link w:val="Style_17_ch"/>
    <w:rPr>
      <w:color w:themeColor="hyperlink" w:val="000000"/>
      <w:u w:val="single"/>
    </w:rPr>
  </w:style>
  <w:style w:styleId="Style_17_ch" w:type="character">
    <w:name w:val="Hyperlink"/>
    <w:basedOn w:val="Style_9_ch"/>
    <w:link w:val="Style_17"/>
    <w:rPr>
      <w:color w:themeColor="hyperlink" w:val="000000"/>
      <w:u w:val="single"/>
    </w:rPr>
  </w:style>
  <w:style w:styleId="Style_18" w:type="paragraph">
    <w:name w:val="Footnote"/>
    <w:link w:val="Style_18_ch"/>
    <w:rPr>
      <w:rFonts w:ascii="XO Thames" w:hAnsi="XO Thames"/>
      <w:color w:val="757575"/>
      <w:sz w:val="20"/>
    </w:rPr>
  </w:style>
  <w:style w:styleId="Style_18_ch" w:type="character">
    <w:name w:val="Footnote"/>
    <w:link w:val="Style_18"/>
    <w:rPr>
      <w:rFonts w:ascii="XO Thames" w:hAnsi="XO Thames"/>
      <w:color w:val="757575"/>
      <w:sz w:val="20"/>
    </w:rPr>
  </w:style>
  <w:style w:styleId="Style_19" w:type="paragraph">
    <w:name w:val="toc 1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ConsPlusTitle"/>
    <w:link w:val="Style_22_ch"/>
    <w:pPr>
      <w:widowControl w:val="0"/>
      <w:ind/>
      <w:jc w:val="left"/>
    </w:pPr>
    <w:rPr>
      <w:rFonts w:ascii="Calibri" w:hAnsi="Calibri"/>
      <w:b w:val="1"/>
      <w:sz w:val="22"/>
    </w:rPr>
  </w:style>
  <w:style w:styleId="Style_22_ch" w:type="character">
    <w:name w:val="ConsPlusTitle"/>
    <w:link w:val="Style_22"/>
    <w:rPr>
      <w:rFonts w:ascii="Calibri" w:hAnsi="Calibri"/>
      <w:b w:val="1"/>
      <w:sz w:val="22"/>
    </w:rPr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